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920" w:type="dxa"/>
        <w:tblCellSpacing w:w="37" w:type="dxa"/>
        <w:shd w:val="clear" w:color="auto" w:fill="FFFFFF"/>
        <w:tblCellMar>
          <w:left w:w="0" w:type="dxa"/>
          <w:right w:w="0" w:type="dxa"/>
        </w:tblCellMar>
        <w:tblLook w:val="04A0" w:firstRow="1" w:lastRow="0" w:firstColumn="1" w:lastColumn="0" w:noHBand="0" w:noVBand="1"/>
      </w:tblPr>
      <w:tblGrid>
        <w:gridCol w:w="7920"/>
      </w:tblGrid>
      <w:tr w:rsidR="007245E3" w:rsidRPr="007245E3" w:rsidTr="007245E3">
        <w:trPr>
          <w:tblCellSpacing w:w="37" w:type="dxa"/>
        </w:trPr>
        <w:tc>
          <w:tcPr>
            <w:tcW w:w="0" w:type="auto"/>
            <w:shd w:val="clear" w:color="auto" w:fill="FFFFFF"/>
            <w:vAlign w:val="center"/>
            <w:hideMark/>
          </w:tcPr>
          <w:tbl>
            <w:tblPr>
              <w:tblW w:w="7140" w:type="dxa"/>
              <w:jc w:val="center"/>
              <w:tblCellSpacing w:w="37" w:type="dxa"/>
              <w:tblCellMar>
                <w:left w:w="0" w:type="dxa"/>
                <w:right w:w="0" w:type="dxa"/>
              </w:tblCellMar>
              <w:tblLook w:val="04A0" w:firstRow="1" w:lastRow="0" w:firstColumn="1" w:lastColumn="0" w:noHBand="0" w:noVBand="1"/>
            </w:tblPr>
            <w:tblGrid>
              <w:gridCol w:w="7029"/>
              <w:gridCol w:w="111"/>
            </w:tblGrid>
            <w:tr w:rsidR="007245E3" w:rsidRPr="007245E3">
              <w:trPr>
                <w:gridAfter w:val="1"/>
                <w:tblCellSpacing w:w="37" w:type="dxa"/>
                <w:jc w:val="center"/>
              </w:trPr>
              <w:tc>
                <w:tcPr>
                  <w:tcW w:w="5445" w:type="dxa"/>
                  <w:vAlign w:val="center"/>
                  <w:hideMark/>
                </w:tcPr>
                <w:p w:rsidR="007245E3" w:rsidRPr="007245E3" w:rsidRDefault="007245E3" w:rsidP="007245E3">
                  <w:pPr>
                    <w:spacing w:after="0" w:line="240" w:lineRule="auto"/>
                    <w:rPr>
                      <w:rFonts w:ascii="Tahoma" w:eastAsia="Times New Roman" w:hAnsi="Tahoma" w:cs="Tahoma"/>
                      <w:b/>
                      <w:bCs/>
                      <w:color w:val="32406A"/>
                      <w:sz w:val="27"/>
                      <w:szCs w:val="27"/>
                    </w:rPr>
                  </w:pPr>
                  <w:r w:rsidRPr="007245E3">
                    <w:rPr>
                      <w:rFonts w:ascii="Tahoma" w:eastAsia="Times New Roman" w:hAnsi="Tahoma" w:cs="Tahoma"/>
                      <w:b/>
                      <w:bCs/>
                      <w:color w:val="32406A"/>
                      <w:sz w:val="27"/>
                      <w:szCs w:val="27"/>
                    </w:rPr>
                    <w:t>Logistics, Supply Chain </w:t>
                  </w:r>
                  <w:r w:rsidRPr="007245E3">
                    <w:rPr>
                      <w:rFonts w:ascii="Tahoma" w:eastAsia="Times New Roman" w:hAnsi="Tahoma" w:cs="Tahoma"/>
                      <w:b/>
                      <w:bCs/>
                      <w:color w:val="32406A"/>
                      <w:sz w:val="27"/>
                      <w:szCs w:val="27"/>
                    </w:rPr>
                    <w:br/>
                    <w:t>&amp; Transport Management</w:t>
                  </w:r>
                </w:p>
              </w:tc>
            </w:tr>
            <w:tr w:rsidR="007245E3" w:rsidRPr="007245E3">
              <w:trPr>
                <w:tblCellSpacing w:w="37" w:type="dxa"/>
                <w:jc w:val="center"/>
              </w:trPr>
              <w:tc>
                <w:tcPr>
                  <w:tcW w:w="0" w:type="auto"/>
                  <w:gridSpan w:val="2"/>
                  <w:tcMar>
                    <w:top w:w="0" w:type="dxa"/>
                    <w:left w:w="75" w:type="dxa"/>
                    <w:bottom w:w="0" w:type="dxa"/>
                    <w:right w:w="300" w:type="dxa"/>
                  </w:tcMar>
                  <w:vAlign w:val="center"/>
                  <w:hideMark/>
                </w:tcPr>
                <w:p w:rsidR="007245E3" w:rsidRPr="007245E3" w:rsidRDefault="007245E3" w:rsidP="007245E3">
                  <w:pPr>
                    <w:spacing w:after="0" w:line="240" w:lineRule="auto"/>
                    <w:rPr>
                      <w:rFonts w:ascii="Tahoma" w:eastAsia="Times New Roman" w:hAnsi="Tahoma" w:cs="Tahoma"/>
                      <w:b/>
                      <w:bCs/>
                      <w:color w:val="32406A"/>
                      <w:sz w:val="27"/>
                      <w:szCs w:val="27"/>
                    </w:rPr>
                  </w:pPr>
                </w:p>
              </w:tc>
            </w:tr>
          </w:tbl>
          <w:p w:rsidR="007245E3" w:rsidRPr="007245E3" w:rsidRDefault="007245E3" w:rsidP="007245E3">
            <w:pPr>
              <w:spacing w:after="0" w:line="240" w:lineRule="auto"/>
              <w:jc w:val="right"/>
              <w:rPr>
                <w:rFonts w:ascii="Times New Roman" w:eastAsia="Times New Roman" w:hAnsi="Times New Roman" w:cs="Times New Roman"/>
                <w:color w:val="000000"/>
                <w:sz w:val="27"/>
                <w:szCs w:val="27"/>
              </w:rPr>
            </w:pPr>
            <w:bookmarkStart w:id="0" w:name="_GoBack"/>
            <w:bookmarkEnd w:id="0"/>
          </w:p>
        </w:tc>
      </w:tr>
      <w:tr w:rsidR="007245E3" w:rsidRPr="007245E3" w:rsidTr="007245E3">
        <w:trPr>
          <w:tblCellSpacing w:w="37" w:type="dxa"/>
        </w:trPr>
        <w:tc>
          <w:tcPr>
            <w:tcW w:w="0" w:type="auto"/>
            <w:shd w:val="clear" w:color="auto" w:fill="FFFFFF"/>
            <w:tcMar>
              <w:top w:w="0" w:type="dxa"/>
              <w:left w:w="75" w:type="dxa"/>
              <w:bottom w:w="0" w:type="dxa"/>
              <w:right w:w="300" w:type="dxa"/>
            </w:tcMar>
            <w:vAlign w:val="center"/>
            <w:hideMark/>
          </w:tcPr>
          <w:p w:rsidR="007245E3" w:rsidRPr="007245E3" w:rsidRDefault="007245E3" w:rsidP="007245E3">
            <w:p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A Program which teaches about the vital role of business logistics and supply chain management, and its importance to the competitive strategy and revenue generation of a business.</w:t>
            </w:r>
          </w:p>
          <w:p w:rsidR="007245E3" w:rsidRPr="007245E3" w:rsidRDefault="007245E3" w:rsidP="007245E3">
            <w:p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This management area has been described by many names, and relevant activities may include one or more of the following areas: physical distribution, materials management, transportation management, logistics, supply chain management, transportation, inventory, order processing, purchasing, warehousing, materials handling and packaging.</w:t>
            </w:r>
            <w:r w:rsidRPr="007245E3">
              <w:rPr>
                <w:rFonts w:ascii="Tahoma" w:eastAsia="Times New Roman" w:hAnsi="Tahoma" w:cs="Tahoma"/>
                <w:color w:val="666666"/>
                <w:sz w:val="18"/>
                <w:szCs w:val="18"/>
              </w:rPr>
              <w:br/>
              <w:t>The focus of this Program is on the planning, organizing and controlling of these activities - key elements for successful management in any organization. Special emphasis is given to strategic planning and decision-making as an important part of the management process. Managerial efforts are directed towards setting the level of the logistics activities to make products and services available to customers at the time and place, and in the condition and form desired, in a profitable and cost-effective way.</w:t>
            </w:r>
          </w:p>
          <w:p w:rsidR="007245E3" w:rsidRPr="007245E3" w:rsidRDefault="007245E3" w:rsidP="007245E3">
            <w:pPr>
              <w:spacing w:before="100" w:beforeAutospacing="1" w:after="100" w:afterAutospacing="1" w:line="240" w:lineRule="auto"/>
              <w:jc w:val="both"/>
              <w:rPr>
                <w:rFonts w:ascii="Tahoma" w:eastAsia="Times New Roman" w:hAnsi="Tahoma" w:cs="Tahoma"/>
                <w:b/>
                <w:bCs/>
                <w:color w:val="32406A"/>
                <w:sz w:val="23"/>
                <w:szCs w:val="23"/>
              </w:rPr>
            </w:pPr>
            <w:r w:rsidRPr="007245E3">
              <w:rPr>
                <w:rFonts w:ascii="Tahoma" w:eastAsia="Times New Roman" w:hAnsi="Tahoma" w:cs="Tahoma"/>
                <w:b/>
                <w:bCs/>
                <w:color w:val="32406A"/>
                <w:sz w:val="23"/>
                <w:szCs w:val="23"/>
              </w:rPr>
              <w:t>Major topics covered in this diploma program</w:t>
            </w:r>
          </w:p>
          <w:p w:rsidR="007245E3" w:rsidRPr="007245E3" w:rsidRDefault="007245E3" w:rsidP="007245E3">
            <w:pPr>
              <w:numPr>
                <w:ilvl w:val="0"/>
                <w:numId w:val="2"/>
              </w:numPr>
              <w:spacing w:before="100" w:beforeAutospacing="1" w:after="100" w:afterAutospacing="1" w:line="240" w:lineRule="auto"/>
              <w:jc w:val="both"/>
              <w:rPr>
                <w:rFonts w:ascii="Tahoma" w:eastAsia="Times New Roman" w:hAnsi="Tahoma" w:cs="Tahoma"/>
                <w:color w:val="666666"/>
                <w:sz w:val="18"/>
                <w:szCs w:val="18"/>
              </w:rPr>
            </w:pPr>
            <w:proofErr w:type="spellStart"/>
            <w:r w:rsidRPr="007245E3">
              <w:rPr>
                <w:rFonts w:ascii="Tahoma" w:eastAsia="Times New Roman" w:hAnsi="Tahoma" w:cs="Tahoma"/>
                <w:color w:val="666666"/>
                <w:sz w:val="18"/>
                <w:szCs w:val="18"/>
              </w:rPr>
              <w:t>usiness</w:t>
            </w:r>
            <w:proofErr w:type="spellEnd"/>
            <w:r w:rsidRPr="007245E3">
              <w:rPr>
                <w:rFonts w:ascii="Tahoma" w:eastAsia="Times New Roman" w:hAnsi="Tahoma" w:cs="Tahoma"/>
                <w:color w:val="666666"/>
                <w:sz w:val="18"/>
                <w:szCs w:val="18"/>
              </w:rPr>
              <w:t xml:space="preserve"> Logistics, Supply Chain, Activity Mix, Customer Expectations, Added Value, Objectives</w:t>
            </w:r>
          </w:p>
          <w:p w:rsidR="007245E3" w:rsidRPr="007245E3" w:rsidRDefault="007245E3" w:rsidP="007245E3">
            <w:pPr>
              <w:numPr>
                <w:ilvl w:val="0"/>
                <w:numId w:val="2"/>
              </w:numPr>
              <w:spacing w:before="100" w:beforeAutospacing="1" w:after="100" w:afterAutospacing="1" w:line="240" w:lineRule="auto"/>
              <w:jc w:val="both"/>
              <w:rPr>
                <w:rFonts w:ascii="Tahoma" w:eastAsia="Times New Roman" w:hAnsi="Tahoma" w:cs="Tahoma"/>
                <w:color w:val="666666"/>
                <w:sz w:val="18"/>
                <w:szCs w:val="18"/>
              </w:rPr>
            </w:pPr>
            <w:proofErr w:type="spellStart"/>
            <w:r w:rsidRPr="007245E3">
              <w:rPr>
                <w:rFonts w:ascii="Tahoma" w:eastAsia="Times New Roman" w:hAnsi="Tahoma" w:cs="Tahoma"/>
                <w:color w:val="666666"/>
                <w:sz w:val="18"/>
                <w:szCs w:val="18"/>
              </w:rPr>
              <w:t>ogistics</w:t>
            </w:r>
            <w:proofErr w:type="spellEnd"/>
            <w:r w:rsidRPr="007245E3">
              <w:rPr>
                <w:rFonts w:ascii="Tahoma" w:eastAsia="Times New Roman" w:hAnsi="Tahoma" w:cs="Tahoma"/>
                <w:color w:val="666666"/>
                <w:sz w:val="18"/>
                <w:szCs w:val="18"/>
              </w:rPr>
              <w:t>/Supply Chain (LSC) Strategy, Planning, Costs, Implementing Strategy, LSC Channels</w:t>
            </w:r>
          </w:p>
          <w:p w:rsidR="007245E3" w:rsidRPr="007245E3" w:rsidRDefault="007245E3" w:rsidP="007245E3">
            <w:pPr>
              <w:numPr>
                <w:ilvl w:val="0"/>
                <w:numId w:val="2"/>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he LSC Product, 80-20 Curve, Product Characteristics, Packaging, Pricing, Incentive Prices</w:t>
            </w:r>
          </w:p>
          <w:p w:rsidR="007245E3" w:rsidRPr="007245E3" w:rsidRDefault="007245E3" w:rsidP="007245E3">
            <w:pPr>
              <w:numPr>
                <w:ilvl w:val="0"/>
                <w:numId w:val="2"/>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SC Customer Service, Order Cycle Time, Sales Service Relationships, Levels and Constraints</w:t>
            </w:r>
          </w:p>
          <w:p w:rsidR="007245E3" w:rsidRPr="007245E3" w:rsidRDefault="007245E3" w:rsidP="007245E3">
            <w:pPr>
              <w:numPr>
                <w:ilvl w:val="0"/>
                <w:numId w:val="2"/>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Order Processing, Time and other Factors, Logistics Information Systems, Management Systems</w:t>
            </w:r>
          </w:p>
          <w:p w:rsidR="007245E3" w:rsidRPr="007245E3" w:rsidRDefault="007245E3" w:rsidP="007245E3">
            <w:pPr>
              <w:numPr>
                <w:ilvl w:val="0"/>
                <w:numId w:val="2"/>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Transport Systems and Decisions, Characteristics, Shipment Agencies, International, Costing</w:t>
            </w:r>
          </w:p>
        </w:tc>
      </w:tr>
      <w:tr w:rsidR="007245E3" w:rsidRPr="007245E3" w:rsidTr="007245E3">
        <w:trPr>
          <w:tblCellSpacing w:w="37" w:type="dxa"/>
        </w:trPr>
        <w:tc>
          <w:tcPr>
            <w:tcW w:w="0" w:type="auto"/>
            <w:shd w:val="clear" w:color="auto" w:fill="FFFFFF"/>
            <w:vAlign w:val="center"/>
            <w:hideMark/>
          </w:tcPr>
          <w:tbl>
            <w:tblPr>
              <w:tblW w:w="5000" w:type="pct"/>
              <w:tblCellSpacing w:w="37" w:type="dxa"/>
              <w:tblCellMar>
                <w:left w:w="0" w:type="dxa"/>
                <w:right w:w="0" w:type="dxa"/>
              </w:tblCellMar>
              <w:tblLook w:val="04A0" w:firstRow="1" w:lastRow="0" w:firstColumn="1" w:lastColumn="0" w:noHBand="0" w:noVBand="1"/>
            </w:tblPr>
            <w:tblGrid>
              <w:gridCol w:w="7772"/>
            </w:tblGrid>
            <w:tr w:rsidR="007245E3" w:rsidRPr="007245E3">
              <w:trPr>
                <w:tblCellSpacing w:w="37" w:type="dxa"/>
              </w:trPr>
              <w:tc>
                <w:tcPr>
                  <w:tcW w:w="0" w:type="auto"/>
                  <w:vAlign w:val="center"/>
                  <w:hideMark/>
                </w:tcPr>
                <w:p w:rsidR="007245E3" w:rsidRPr="007245E3" w:rsidRDefault="007245E3" w:rsidP="007245E3">
                  <w:pPr>
                    <w:numPr>
                      <w:ilvl w:val="0"/>
                      <w:numId w:val="2"/>
                    </w:numPr>
                    <w:spacing w:before="100" w:beforeAutospacing="1" w:after="100" w:afterAutospacing="1" w:line="240" w:lineRule="auto"/>
                    <w:jc w:val="both"/>
                    <w:rPr>
                      <w:rFonts w:ascii="Tahoma" w:eastAsia="Times New Roman" w:hAnsi="Tahoma" w:cs="Tahoma"/>
                      <w:color w:val="666666"/>
                      <w:sz w:val="18"/>
                      <w:szCs w:val="18"/>
                    </w:rPr>
                  </w:pPr>
                </w:p>
              </w:tc>
            </w:tr>
            <w:tr w:rsidR="007245E3" w:rsidRPr="007245E3">
              <w:trPr>
                <w:tblCellSpacing w:w="37" w:type="dxa"/>
              </w:trPr>
              <w:tc>
                <w:tcPr>
                  <w:tcW w:w="0" w:type="auto"/>
                  <w:tcMar>
                    <w:top w:w="0" w:type="dxa"/>
                    <w:left w:w="75" w:type="dxa"/>
                    <w:bottom w:w="0" w:type="dxa"/>
                    <w:right w:w="300" w:type="dxa"/>
                  </w:tcMar>
                  <w:vAlign w:val="center"/>
                  <w:hideMark/>
                </w:tcPr>
                <w:p w:rsidR="007245E3" w:rsidRPr="007245E3" w:rsidRDefault="007245E3" w:rsidP="007245E3">
                  <w:p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b/>
                      <w:bCs/>
                      <w:color w:val="32406A"/>
                      <w:sz w:val="23"/>
                      <w:szCs w:val="23"/>
                    </w:rPr>
                    <w:t>Mode of Study:</w:t>
                  </w:r>
                </w:p>
                <w:p w:rsidR="007245E3" w:rsidRPr="007245E3" w:rsidRDefault="007245E3" w:rsidP="007245E3">
                  <w:pPr>
                    <w:numPr>
                      <w:ilvl w:val="0"/>
                      <w:numId w:val="3"/>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 xml:space="preserve">Away from lectures, attendance and full study commitment, Cambridge International College Diploma </w:t>
                  </w:r>
                  <w:proofErr w:type="spellStart"/>
                  <w:r w:rsidRPr="007245E3">
                    <w:rPr>
                      <w:rFonts w:ascii="Tahoma" w:eastAsia="Times New Roman" w:hAnsi="Tahoma" w:cs="Tahoma"/>
                      <w:color w:val="666666"/>
                      <w:sz w:val="18"/>
                      <w:szCs w:val="18"/>
                    </w:rPr>
                    <w:t>Programme</w:t>
                  </w:r>
                  <w:proofErr w:type="spellEnd"/>
                  <w:r w:rsidRPr="007245E3">
                    <w:rPr>
                      <w:rFonts w:ascii="Tahoma" w:eastAsia="Times New Roman" w:hAnsi="Tahoma" w:cs="Tahoma"/>
                      <w:color w:val="666666"/>
                      <w:sz w:val="18"/>
                      <w:szCs w:val="18"/>
                    </w:rPr>
                    <w:t>, through SETTEC, is a flexible Self- Study.</w:t>
                  </w:r>
                </w:p>
                <w:p w:rsidR="007245E3" w:rsidRPr="007245E3" w:rsidRDefault="007245E3" w:rsidP="007245E3">
                  <w:p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b/>
                      <w:bCs/>
                      <w:color w:val="32406A"/>
                      <w:sz w:val="23"/>
                      <w:szCs w:val="23"/>
                    </w:rPr>
                    <w:t>Language:</w:t>
                  </w:r>
                </w:p>
                <w:p w:rsidR="007245E3" w:rsidRPr="007245E3" w:rsidRDefault="007245E3" w:rsidP="007245E3">
                  <w:pPr>
                    <w:numPr>
                      <w:ilvl w:val="0"/>
                      <w:numId w:val="4"/>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It is a Bi-Lingual Diploma (Either English or Arabic).</w:t>
                  </w:r>
                </w:p>
                <w:p w:rsidR="007245E3" w:rsidRPr="007245E3" w:rsidRDefault="007245E3" w:rsidP="007245E3">
                  <w:p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b/>
                      <w:bCs/>
                      <w:color w:val="32406A"/>
                      <w:sz w:val="23"/>
                      <w:szCs w:val="23"/>
                    </w:rPr>
                    <w:t>Duration: </w:t>
                  </w:r>
                  <w:r w:rsidRPr="007245E3">
                    <w:rPr>
                      <w:rFonts w:ascii="Tahoma" w:eastAsia="Times New Roman" w:hAnsi="Tahoma" w:cs="Tahoma"/>
                      <w:b/>
                      <w:bCs/>
                      <w:color w:val="666666"/>
                      <w:sz w:val="18"/>
                      <w:szCs w:val="18"/>
                    </w:rPr>
                    <w:t> </w:t>
                  </w:r>
                </w:p>
                <w:p w:rsidR="007245E3" w:rsidRPr="007245E3" w:rsidRDefault="007245E3" w:rsidP="007245E3">
                  <w:pPr>
                    <w:numPr>
                      <w:ilvl w:val="0"/>
                      <w:numId w:val="5"/>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lastRenderedPageBreak/>
                    <w:t>The International Diploma is pursued on 3 to 12 months duration</w:t>
                  </w:r>
                </w:p>
                <w:p w:rsidR="007245E3" w:rsidRPr="007245E3" w:rsidRDefault="007245E3" w:rsidP="007245E3">
                  <w:p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b/>
                      <w:bCs/>
                      <w:color w:val="32406A"/>
                      <w:sz w:val="23"/>
                      <w:szCs w:val="23"/>
                    </w:rPr>
                    <w:t>Tutorial Support:  </w:t>
                  </w:r>
                </w:p>
                <w:p w:rsidR="007245E3" w:rsidRPr="007245E3" w:rsidRDefault="007245E3" w:rsidP="007245E3">
                  <w:pPr>
                    <w:numPr>
                      <w:ilvl w:val="0"/>
                      <w:numId w:val="6"/>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Available on demand for extra charge.</w:t>
                  </w:r>
                </w:p>
                <w:p w:rsidR="007245E3" w:rsidRPr="007245E3" w:rsidRDefault="007245E3" w:rsidP="007245E3">
                  <w:p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b/>
                      <w:bCs/>
                      <w:color w:val="32406A"/>
                      <w:sz w:val="23"/>
                      <w:szCs w:val="23"/>
                    </w:rPr>
                    <w:t>Assessment: </w:t>
                  </w:r>
                </w:p>
                <w:p w:rsidR="007245E3" w:rsidRPr="007245E3" w:rsidRDefault="007245E3" w:rsidP="007245E3">
                  <w:p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Different from full and part-time mode, the member is evaluated only by the final exam, which is held in SETTEC/SPARK premises.</w:t>
                  </w:r>
                </w:p>
                <w:p w:rsidR="007245E3" w:rsidRPr="007245E3" w:rsidRDefault="007245E3" w:rsidP="007245E3">
                  <w:pPr>
                    <w:numPr>
                      <w:ilvl w:val="0"/>
                      <w:numId w:val="7"/>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Although the member has the right to choose the convenient time for setting the exam, he should inform SETTEC/SPARK one month before the Exam Due Date.</w:t>
                  </w:r>
                </w:p>
                <w:p w:rsidR="007245E3" w:rsidRPr="007245E3" w:rsidRDefault="007245E3" w:rsidP="007245E3">
                  <w:pPr>
                    <w:numPr>
                      <w:ilvl w:val="0"/>
                      <w:numId w:val="7"/>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The member has to be examined within 10 days from the exact arrival date of the exam. </w:t>
                  </w:r>
                  <w:r w:rsidRPr="007245E3">
                    <w:rPr>
                      <w:rFonts w:ascii="Tahoma" w:eastAsia="Times New Roman" w:hAnsi="Tahoma" w:cs="Tahoma"/>
                      <w:color w:val="B12C2F"/>
                      <w:sz w:val="18"/>
                      <w:szCs w:val="18"/>
                    </w:rPr>
                    <w:br/>
                    <w:t>Any delay in undergoing the exam, the member will pay 50 £ / day.</w:t>
                  </w:r>
                </w:p>
                <w:p w:rsidR="007245E3" w:rsidRPr="007245E3" w:rsidRDefault="007245E3" w:rsidP="007245E3">
                  <w:pPr>
                    <w:numPr>
                      <w:ilvl w:val="0"/>
                      <w:numId w:val="7"/>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Once the member has successfully undergone the exam, he is awarded Cambridge International College Certificate.</w:t>
                  </w:r>
                </w:p>
                <w:p w:rsidR="007245E3" w:rsidRPr="007245E3" w:rsidRDefault="007245E3" w:rsidP="007245E3">
                  <w:pPr>
                    <w:spacing w:after="0" w:line="240" w:lineRule="auto"/>
                    <w:jc w:val="both"/>
                    <w:rPr>
                      <w:rFonts w:ascii="Tahoma" w:eastAsia="Times New Roman" w:hAnsi="Tahoma" w:cs="Tahoma"/>
                      <w:color w:val="666666"/>
                      <w:sz w:val="18"/>
                      <w:szCs w:val="18"/>
                    </w:rPr>
                  </w:pPr>
                  <w:r w:rsidRPr="007245E3">
                    <w:rPr>
                      <w:rFonts w:ascii="Tahoma" w:eastAsia="Times New Roman" w:hAnsi="Tahoma" w:cs="Tahoma"/>
                      <w:b/>
                      <w:bCs/>
                      <w:color w:val="32406A"/>
                      <w:sz w:val="23"/>
                      <w:szCs w:val="23"/>
                    </w:rPr>
                    <w:t>Admission Requirements:  </w:t>
                  </w:r>
                </w:p>
                <w:p w:rsidR="007245E3" w:rsidRPr="007245E3" w:rsidRDefault="007245E3" w:rsidP="007245E3">
                  <w:pPr>
                    <w:numPr>
                      <w:ilvl w:val="0"/>
                      <w:numId w:val="8"/>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 xml:space="preserve">Copy of the member's ID </w:t>
                  </w:r>
                  <w:proofErr w:type="gramStart"/>
                  <w:r w:rsidRPr="007245E3">
                    <w:rPr>
                      <w:rFonts w:ascii="Tahoma" w:eastAsia="Times New Roman" w:hAnsi="Tahoma" w:cs="Tahoma"/>
                      <w:color w:val="666666"/>
                      <w:sz w:val="18"/>
                      <w:szCs w:val="18"/>
                    </w:rPr>
                    <w:t>Card</w:t>
                  </w:r>
                  <w:proofErr w:type="gramEnd"/>
                  <w:r w:rsidRPr="007245E3">
                    <w:rPr>
                      <w:rFonts w:ascii="Tahoma" w:eastAsia="Times New Roman" w:hAnsi="Tahoma" w:cs="Tahoma"/>
                      <w:color w:val="666666"/>
                      <w:sz w:val="18"/>
                      <w:szCs w:val="18"/>
                    </w:rPr>
                    <w:t xml:space="preserve"> or a copy of his passport.</w:t>
                  </w:r>
                </w:p>
                <w:p w:rsidR="007245E3" w:rsidRPr="007245E3" w:rsidRDefault="007245E3" w:rsidP="007245E3">
                  <w:pPr>
                    <w:numPr>
                      <w:ilvl w:val="0"/>
                      <w:numId w:val="8"/>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Four colored recent passport photos.</w:t>
                  </w:r>
                </w:p>
                <w:p w:rsidR="007245E3" w:rsidRPr="007245E3" w:rsidRDefault="007245E3" w:rsidP="007245E3">
                  <w:pPr>
                    <w:numPr>
                      <w:ilvl w:val="0"/>
                      <w:numId w:val="8"/>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A recent copy of the member's C.V.</w:t>
                  </w:r>
                </w:p>
                <w:p w:rsidR="007245E3" w:rsidRPr="007245E3" w:rsidRDefault="007245E3" w:rsidP="007245E3">
                  <w:pPr>
                    <w:numPr>
                      <w:ilvl w:val="0"/>
                      <w:numId w:val="8"/>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His academic qualifications.</w:t>
                  </w:r>
                </w:p>
                <w:p w:rsidR="007245E3" w:rsidRPr="007245E3" w:rsidRDefault="007245E3" w:rsidP="007245E3">
                  <w:pPr>
                    <w:numPr>
                      <w:ilvl w:val="0"/>
                      <w:numId w:val="8"/>
                    </w:num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SETTEC/SPARK Admission Application Form.</w:t>
                  </w:r>
                </w:p>
                <w:p w:rsidR="007245E3" w:rsidRPr="007245E3" w:rsidRDefault="007245E3" w:rsidP="007245E3">
                  <w:p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b/>
                      <w:bCs/>
                      <w:color w:val="666666"/>
                      <w:sz w:val="18"/>
                      <w:szCs w:val="18"/>
                    </w:rPr>
                    <w:t>N.B: Originals should be presented with the copies.</w:t>
                  </w:r>
                </w:p>
                <w:p w:rsidR="007245E3" w:rsidRPr="007245E3" w:rsidRDefault="007245E3" w:rsidP="007245E3">
                  <w:pPr>
                    <w:spacing w:before="100" w:beforeAutospacing="1" w:after="100" w:afterAutospacing="1" w:line="240" w:lineRule="auto"/>
                    <w:jc w:val="both"/>
                    <w:rPr>
                      <w:rFonts w:ascii="Tahoma" w:eastAsia="Times New Roman" w:hAnsi="Tahoma" w:cs="Tahoma"/>
                      <w:color w:val="666666"/>
                      <w:sz w:val="18"/>
                      <w:szCs w:val="18"/>
                    </w:rPr>
                  </w:pPr>
                  <w:r w:rsidRPr="007245E3">
                    <w:rPr>
                      <w:rFonts w:ascii="Tahoma" w:eastAsia="Times New Roman" w:hAnsi="Tahoma" w:cs="Tahoma"/>
                      <w:color w:val="666666"/>
                      <w:sz w:val="18"/>
                      <w:szCs w:val="18"/>
                    </w:rPr>
                    <w:t> </w:t>
                  </w:r>
                </w:p>
              </w:tc>
            </w:tr>
          </w:tbl>
          <w:p w:rsidR="007245E3" w:rsidRPr="007245E3" w:rsidRDefault="007245E3" w:rsidP="007245E3">
            <w:pPr>
              <w:spacing w:after="0" w:line="240" w:lineRule="auto"/>
              <w:rPr>
                <w:rFonts w:ascii="Times New Roman" w:eastAsia="Times New Roman" w:hAnsi="Times New Roman" w:cs="Times New Roman"/>
                <w:color w:val="000000"/>
                <w:sz w:val="27"/>
                <w:szCs w:val="27"/>
              </w:rPr>
            </w:pPr>
          </w:p>
        </w:tc>
      </w:tr>
    </w:tbl>
    <w:p w:rsidR="00A970BF" w:rsidRDefault="007245E3"/>
    <w:sectPr w:rsidR="00A97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7694A"/>
    <w:multiLevelType w:val="multilevel"/>
    <w:tmpl w:val="3804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F5723E"/>
    <w:multiLevelType w:val="multilevel"/>
    <w:tmpl w:val="024E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B7D6B"/>
    <w:multiLevelType w:val="multilevel"/>
    <w:tmpl w:val="699C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F26F46"/>
    <w:multiLevelType w:val="multilevel"/>
    <w:tmpl w:val="1B00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1066F1"/>
    <w:multiLevelType w:val="multilevel"/>
    <w:tmpl w:val="DAC08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A33A83"/>
    <w:multiLevelType w:val="multilevel"/>
    <w:tmpl w:val="C4C0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0A175D"/>
    <w:multiLevelType w:val="multilevel"/>
    <w:tmpl w:val="F61E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B3703D"/>
    <w:multiLevelType w:val="multilevel"/>
    <w:tmpl w:val="5B3A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0"/>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E3"/>
    <w:rsid w:val="001B0D8A"/>
    <w:rsid w:val="007245E3"/>
    <w:rsid w:val="00D57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430DA-9060-4940-A67A-EE393536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4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itleinside">
    <w:name w:val="body_title_inside"/>
    <w:basedOn w:val="Normal"/>
    <w:rsid w:val="00724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45E3"/>
  </w:style>
  <w:style w:type="character" w:customStyle="1" w:styleId="bodytxtlink">
    <w:name w:val="body_txt_link"/>
    <w:basedOn w:val="DefaultParagraphFont"/>
    <w:rsid w:val="007245E3"/>
  </w:style>
  <w:style w:type="character" w:styleId="Strong">
    <w:name w:val="Strong"/>
    <w:basedOn w:val="DefaultParagraphFont"/>
    <w:uiPriority w:val="22"/>
    <w:qFormat/>
    <w:rsid w:val="007245E3"/>
    <w:rPr>
      <w:b/>
      <w:bCs/>
    </w:rPr>
  </w:style>
  <w:style w:type="character" w:customStyle="1" w:styleId="style2">
    <w:name w:val="style2"/>
    <w:basedOn w:val="DefaultParagraphFont"/>
    <w:rsid w:val="007245E3"/>
  </w:style>
  <w:style w:type="character" w:customStyle="1" w:styleId="style1">
    <w:name w:val="style1"/>
    <w:basedOn w:val="DefaultParagraphFont"/>
    <w:rsid w:val="0072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66073">
      <w:bodyDiv w:val="1"/>
      <w:marLeft w:val="0"/>
      <w:marRight w:val="0"/>
      <w:marTop w:val="0"/>
      <w:marBottom w:val="0"/>
      <w:divBdr>
        <w:top w:val="none" w:sz="0" w:space="0" w:color="auto"/>
        <w:left w:val="none" w:sz="0" w:space="0" w:color="auto"/>
        <w:bottom w:val="none" w:sz="0" w:space="0" w:color="auto"/>
        <w:right w:val="none" w:sz="0" w:space="0" w:color="auto"/>
      </w:divBdr>
    </w:div>
    <w:div w:id="20068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Amal_helmi</dc:creator>
  <cp:keywords/>
  <dc:description/>
  <cp:lastModifiedBy>Amal_helmi</cp:lastModifiedBy>
  <cp:revision>1</cp:revision>
  <dcterms:created xsi:type="dcterms:W3CDTF">2013-09-04T09:24:00Z</dcterms:created>
  <dcterms:modified xsi:type="dcterms:W3CDTF">2013-09-04T09:26:00Z</dcterms:modified>
</cp:coreProperties>
</file>