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page" w:tblpX="3411" w:tblpY="109"/>
        <w:tblW w:w="8310" w:type="dxa"/>
        <w:tblCellSpacing w:w="0" w:type="dxa"/>
        <w:shd w:val="clear" w:color="auto" w:fill="026584"/>
        <w:tblCellMar>
          <w:left w:w="0" w:type="dxa"/>
          <w:right w:w="0" w:type="dxa"/>
        </w:tblCellMar>
        <w:tblLook w:val="04A0" w:firstRow="1" w:lastRow="0" w:firstColumn="1" w:lastColumn="0" w:noHBand="0" w:noVBand="1"/>
      </w:tblPr>
      <w:tblGrid>
        <w:gridCol w:w="8304"/>
        <w:gridCol w:w="6"/>
      </w:tblGrid>
      <w:tr w:rsidR="000B146C" w:rsidTr="00104EE9">
        <w:trPr>
          <w:tblCellSpacing w:w="0" w:type="dxa"/>
        </w:trPr>
        <w:tc>
          <w:tcPr>
            <w:tcW w:w="0" w:type="auto"/>
            <w:shd w:val="clear" w:color="auto" w:fill="026584"/>
            <w:tcMar>
              <w:top w:w="225" w:type="dxa"/>
              <w:left w:w="480" w:type="dxa"/>
              <w:bottom w:w="225" w:type="dxa"/>
              <w:right w:w="465" w:type="dxa"/>
            </w:tcMar>
            <w:hideMark/>
          </w:tcPr>
          <w:p w:rsidR="000B146C" w:rsidRDefault="000B146C" w:rsidP="00104EE9">
            <w:pPr>
              <w:rPr>
                <w:rFonts w:ascii="Arial" w:hAnsi="Arial" w:cs="Arial"/>
                <w:color w:val="FFFFFF"/>
                <w:sz w:val="22"/>
                <w:szCs w:val="22"/>
              </w:rPr>
            </w:pPr>
            <w:r>
              <w:rPr>
                <w:rFonts w:ascii="Arial" w:hAnsi="Arial" w:cs="Arial"/>
                <w:b/>
                <w:bCs/>
                <w:i/>
                <w:iCs/>
                <w:color w:val="FFFFFF"/>
                <w:sz w:val="22"/>
                <w:szCs w:val="22"/>
              </w:rPr>
              <w:t>NEBOSH</w:t>
            </w:r>
          </w:p>
          <w:p w:rsidR="000B146C" w:rsidRDefault="000B146C" w:rsidP="00104EE9">
            <w:pPr>
              <w:rPr>
                <w:rFonts w:ascii="Arial" w:hAnsi="Arial" w:cs="Arial"/>
                <w:color w:val="FFFFFF"/>
                <w:sz w:val="20"/>
                <w:szCs w:val="20"/>
              </w:rPr>
            </w:pPr>
            <w:r>
              <w:rPr>
                <w:rStyle w:val="Emphasis"/>
                <w:rFonts w:ascii="Arial" w:hAnsi="Arial" w:cs="Arial"/>
                <w:b/>
                <w:bCs/>
                <w:color w:val="FFFFFF"/>
                <w:sz w:val="20"/>
                <w:szCs w:val="20"/>
              </w:rPr>
              <w:t>International General Certificate in Occupational Health &amp; Safety</w:t>
            </w:r>
          </w:p>
          <w:p w:rsidR="000B146C" w:rsidRDefault="000B146C" w:rsidP="00104EE9">
            <w:pPr>
              <w:rPr>
                <w:rFonts w:ascii="Arial" w:hAnsi="Arial" w:cs="Arial"/>
                <w:color w:val="FFFFFF"/>
                <w:sz w:val="20"/>
                <w:szCs w:val="20"/>
              </w:rPr>
            </w:pPr>
            <w:r>
              <w:rPr>
                <w:rStyle w:val="Emphasis"/>
                <w:rFonts w:ascii="Arial" w:hAnsi="Arial" w:cs="Arial"/>
                <w:b/>
                <w:bCs/>
                <w:color w:val="FFFFFF"/>
                <w:sz w:val="20"/>
                <w:szCs w:val="20"/>
              </w:rPr>
              <w:t> </w:t>
            </w:r>
          </w:p>
          <w:p w:rsidR="000B146C" w:rsidRDefault="000B146C" w:rsidP="00104EE9">
            <w:pPr>
              <w:rPr>
                <w:rFonts w:ascii="Arial" w:hAnsi="Arial" w:cs="Arial"/>
                <w:color w:val="FFFFFF"/>
                <w:sz w:val="20"/>
                <w:szCs w:val="20"/>
              </w:rPr>
            </w:pPr>
            <w:r>
              <w:rPr>
                <w:rStyle w:val="Emphasis"/>
                <w:rFonts w:ascii="Arial" w:hAnsi="Arial" w:cs="Arial"/>
                <w:b/>
                <w:bCs/>
                <w:color w:val="FFFFFF"/>
                <w:sz w:val="20"/>
                <w:szCs w:val="20"/>
              </w:rPr>
              <w:t> </w:t>
            </w:r>
          </w:p>
          <w:p w:rsidR="000B146C" w:rsidRDefault="000B146C" w:rsidP="00104EE9">
            <w:pPr>
              <w:rPr>
                <w:rFonts w:ascii="Arial" w:hAnsi="Arial" w:cs="Arial"/>
                <w:color w:val="CBCBCB"/>
                <w:sz w:val="20"/>
                <w:szCs w:val="20"/>
              </w:rPr>
            </w:pPr>
            <w:r>
              <w:rPr>
                <w:rStyle w:val="Strong"/>
                <w:rFonts w:ascii="Arial" w:hAnsi="Arial" w:cs="Arial"/>
                <w:i/>
                <w:iCs/>
                <w:color w:val="CBCBCB"/>
                <w:sz w:val="20"/>
                <w:szCs w:val="20"/>
              </w:rPr>
              <w:t>- 20 - 30 October 2013 in Hilton Green Plaza/Alexandria (08.30am : 05.00pm)</w:t>
            </w:r>
          </w:p>
          <w:p w:rsidR="000B146C" w:rsidRDefault="000B146C" w:rsidP="00104EE9">
            <w:pPr>
              <w:jc w:val="right"/>
              <w:rPr>
                <w:rFonts w:ascii="Arial" w:hAnsi="Arial" w:cs="Arial"/>
                <w:color w:val="CCCCCC"/>
                <w:sz w:val="20"/>
                <w:szCs w:val="20"/>
              </w:rPr>
            </w:pPr>
            <w:r>
              <w:rPr>
                <w:rStyle w:val="Emphasis"/>
                <w:rFonts w:ascii="Arial" w:hAnsi="Arial" w:cs="Arial"/>
                <w:b/>
                <w:bCs/>
                <w:color w:val="CCCCCC"/>
                <w:sz w:val="20"/>
                <w:szCs w:val="20"/>
              </w:rPr>
              <w:t>- 01 - 11 December 2013 in Hilton Green Plaza/Alexandria (08.30am : 05.00pm)</w:t>
            </w:r>
          </w:p>
        </w:tc>
        <w:tc>
          <w:tcPr>
            <w:tcW w:w="0" w:type="auto"/>
            <w:shd w:val="clear" w:color="auto" w:fill="026584"/>
            <w:vAlign w:val="center"/>
            <w:hideMark/>
          </w:tcPr>
          <w:p w:rsidR="000B146C" w:rsidRDefault="000B146C" w:rsidP="00104EE9">
            <w:pPr>
              <w:rPr>
                <w:rFonts w:ascii="Arial" w:hAnsi="Arial" w:cs="Arial"/>
                <w:color w:val="CCCCCC"/>
                <w:sz w:val="20"/>
                <w:szCs w:val="20"/>
              </w:rPr>
            </w:pPr>
          </w:p>
        </w:tc>
      </w:tr>
    </w:tbl>
    <w:p w:rsidR="000B146C" w:rsidRDefault="000B146C" w:rsidP="000B146C">
      <w:pPr>
        <w:jc w:val="both"/>
        <w:rPr>
          <w:rStyle w:val="Emphasis"/>
          <w:rFonts w:ascii="Arial" w:hAnsi="Arial" w:cs="Arial"/>
          <w:color w:val="FFFFFF"/>
        </w:rPr>
      </w:pPr>
      <w:r>
        <w:rPr>
          <w:rFonts w:ascii="Arial" w:hAnsi="Arial" w:cs="Arial"/>
          <w:noProof/>
          <w:color w:val="0000FF"/>
          <w:sz w:val="20"/>
          <w:szCs w:val="20"/>
        </w:rPr>
        <w:drawing>
          <wp:inline distT="0" distB="0" distL="0" distR="0" wp14:anchorId="21474960" wp14:editId="46D6AF0F">
            <wp:extent cx="957532" cy="1268095"/>
            <wp:effectExtent l="0" t="0" r="0" b="8255"/>
            <wp:docPr id="21" name="Picture 21" descr="NEBOSH Approved Cente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BOSH Approved 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532" cy="1268095"/>
                    </a:xfrm>
                    <a:prstGeom prst="rect">
                      <a:avLst/>
                    </a:prstGeom>
                    <a:noFill/>
                    <a:ln>
                      <a:noFill/>
                    </a:ln>
                  </pic:spPr>
                </pic:pic>
              </a:graphicData>
            </a:graphic>
          </wp:inline>
        </w:drawing>
      </w:r>
    </w:p>
    <w:p w:rsidR="000B146C" w:rsidRDefault="000B146C" w:rsidP="000B146C">
      <w:pPr>
        <w:jc w:val="both"/>
      </w:pPr>
      <w:r>
        <w:rPr>
          <w:rStyle w:val="Strong"/>
          <w:rFonts w:ascii="Arial" w:hAnsi="Arial" w:cs="Arial"/>
          <w:color w:val="E69207"/>
          <w:sz w:val="28"/>
          <w:szCs w:val="28"/>
        </w:rPr>
        <w:t>             </w:t>
      </w:r>
    </w:p>
    <w:p w:rsidR="00104EE9" w:rsidRDefault="000B146C" w:rsidP="000B146C">
      <w:pPr>
        <w:jc w:val="both"/>
      </w:pPr>
      <w:r>
        <w:rPr>
          <w:rFonts w:ascii="Arial" w:hAnsi="Arial" w:cs="Arial"/>
          <w:color w:val="222222"/>
          <w:sz w:val="20"/>
          <w:szCs w:val="20"/>
        </w:rPr>
        <w:t>   </w:t>
      </w:r>
    </w:p>
    <w:p w:rsidR="00104EE9" w:rsidRDefault="00104EE9" w:rsidP="00104EE9">
      <w:pPr>
        <w:rPr>
          <w:rStyle w:val="Strong"/>
          <w:rFonts w:ascii="Arial" w:hAnsi="Arial" w:cs="Arial"/>
          <w:color w:val="E69207"/>
          <w:sz w:val="28"/>
          <w:szCs w:val="28"/>
        </w:rPr>
      </w:pPr>
      <w:r>
        <w:rPr>
          <w:rFonts w:ascii="Arial" w:hAnsi="Arial" w:cs="Arial"/>
          <w:b/>
          <w:bCs/>
          <w:color w:val="E69207"/>
          <w:sz w:val="28"/>
          <w:szCs w:val="28"/>
        </w:rPr>
        <w:t>NEBOSH I</w:t>
      </w:r>
      <w:r>
        <w:rPr>
          <w:rFonts w:ascii="Arial" w:hAnsi="Arial" w:cs="Arial"/>
          <w:b/>
          <w:bCs/>
          <w:color w:val="E69207"/>
          <w:sz w:val="28"/>
          <w:szCs w:val="28"/>
        </w:rPr>
        <w:t xml:space="preserve">nternational General Certificate </w:t>
      </w:r>
      <w:r>
        <w:rPr>
          <w:rStyle w:val="Strong"/>
          <w:rFonts w:ascii="Arial" w:hAnsi="Arial" w:cs="Arial"/>
          <w:color w:val="E69207"/>
          <w:sz w:val="28"/>
          <w:szCs w:val="28"/>
        </w:rPr>
        <w:t>in Occupational Health and Safety</w:t>
      </w:r>
      <w:r>
        <w:rPr>
          <w:rStyle w:val="Strong"/>
          <w:rFonts w:ascii="Arial" w:hAnsi="Arial" w:cs="Arial"/>
          <w:color w:val="E69207"/>
          <w:sz w:val="28"/>
          <w:szCs w:val="28"/>
        </w:rPr>
        <w:t>.</w:t>
      </w:r>
    </w:p>
    <w:p w:rsidR="00104EE9" w:rsidRDefault="00104EE9" w:rsidP="00104EE9">
      <w:pPr>
        <w:rPr>
          <w:rStyle w:val="Strong"/>
          <w:rFonts w:ascii="Arial" w:hAnsi="Arial" w:cs="Arial"/>
          <w:color w:val="E69207"/>
          <w:sz w:val="28"/>
          <w:szCs w:val="28"/>
        </w:rPr>
      </w:pPr>
    </w:p>
    <w:p w:rsidR="00104EE9" w:rsidRDefault="00104EE9" w:rsidP="00104EE9">
      <w:pPr>
        <w:rPr>
          <w:rStyle w:val="Strong"/>
          <w:rFonts w:ascii="Arial" w:hAnsi="Arial" w:cs="Arial"/>
          <w:color w:val="E69207"/>
          <w:sz w:val="28"/>
          <w:szCs w:val="28"/>
        </w:rPr>
      </w:pPr>
    </w:p>
    <w:p w:rsidR="00104EE9" w:rsidRDefault="00104EE9" w:rsidP="00104EE9">
      <w:pPr>
        <w:rPr>
          <w:rFonts w:ascii="Arial" w:hAnsi="Arial" w:cs="Arial"/>
          <w:color w:val="222222"/>
          <w:sz w:val="20"/>
          <w:szCs w:val="20"/>
        </w:rPr>
      </w:pPr>
      <w:r>
        <w:rPr>
          <w:rFonts w:ascii="Arial" w:hAnsi="Arial" w:cs="Arial"/>
          <w:b/>
          <w:bCs/>
          <w:color w:val="01AFD8"/>
          <w:sz w:val="20"/>
          <w:szCs w:val="20"/>
        </w:rPr>
        <w:t>Course Overview</w:t>
      </w:r>
      <w:r>
        <w:rPr>
          <w:rFonts w:ascii="Arial" w:hAnsi="Arial" w:cs="Arial"/>
          <w:color w:val="222222"/>
          <w:sz w:val="20"/>
          <w:szCs w:val="20"/>
        </w:rPr>
        <w:t> </w:t>
      </w:r>
    </w:p>
    <w:p w:rsidR="00104EE9" w:rsidRDefault="00104EE9" w:rsidP="00104EE9">
      <w:pPr>
        <w:spacing w:after="240"/>
        <w:jc w:val="both"/>
        <w:rPr>
          <w:rFonts w:ascii="Arial" w:hAnsi="Arial" w:cs="Arial"/>
          <w:color w:val="222222"/>
          <w:sz w:val="20"/>
          <w:szCs w:val="20"/>
        </w:rPr>
      </w:pPr>
      <w:r>
        <w:rPr>
          <w:rFonts w:ascii="Arial" w:hAnsi="Arial" w:cs="Arial"/>
          <w:color w:val="222222"/>
          <w:sz w:val="20"/>
          <w:szCs w:val="20"/>
        </w:rPr>
        <w:t>The NEBOSH International General Certificate is designed for managers, supervisors, worker representatives and others who require an understanding of health and safety principles and practices. Candidates are likely to be employees of large organisations operating outside the UK, or of multinational companies already working to international standards but who need to adapt these to accord with local needs and practice.</w:t>
      </w:r>
    </w:p>
    <w:p w:rsidR="00104EE9" w:rsidRDefault="00104EE9" w:rsidP="00104EE9">
      <w:pPr>
        <w:rPr>
          <w:rFonts w:ascii="Arial" w:hAnsi="Arial" w:cs="Arial"/>
          <w:color w:val="222222"/>
          <w:sz w:val="20"/>
          <w:szCs w:val="20"/>
        </w:rPr>
      </w:pPr>
      <w:r>
        <w:rPr>
          <w:rFonts w:ascii="Arial" w:hAnsi="Arial" w:cs="Arial"/>
          <w:color w:val="222222"/>
          <w:sz w:val="20"/>
          <w:szCs w:val="20"/>
        </w:rPr>
        <w:t>The syllabus omits specific reference to any national legal requirements but, instead, focuses on international standards, in particular ILO codes of practice. In common with the national award, however, the syllabus is structured according to a recognised management framework.</w:t>
      </w:r>
    </w:p>
    <w:p w:rsidR="00104EE9" w:rsidRDefault="00104EE9" w:rsidP="00104EE9">
      <w:pPr>
        <w:rPr>
          <w:rFonts w:ascii="Arial" w:hAnsi="Arial" w:cs="Arial"/>
          <w:color w:val="222222"/>
          <w:sz w:val="20"/>
          <w:szCs w:val="20"/>
        </w:rPr>
      </w:pPr>
    </w:p>
    <w:p w:rsidR="00104EE9" w:rsidRDefault="00104EE9" w:rsidP="00104EE9">
      <w:pPr>
        <w:rPr>
          <w:rFonts w:ascii="Arial" w:hAnsi="Arial" w:cs="Arial"/>
          <w:b/>
          <w:bCs/>
          <w:color w:val="01AFD8"/>
          <w:sz w:val="20"/>
          <w:szCs w:val="20"/>
        </w:rPr>
      </w:pPr>
      <w:r>
        <w:rPr>
          <w:rFonts w:ascii="Arial" w:hAnsi="Arial" w:cs="Arial"/>
          <w:b/>
          <w:bCs/>
          <w:color w:val="01AFD8"/>
          <w:sz w:val="20"/>
          <w:szCs w:val="20"/>
        </w:rPr>
        <w:t>Course Syllabus</w:t>
      </w:r>
    </w:p>
    <w:p w:rsidR="00104EE9" w:rsidRDefault="00104EE9" w:rsidP="00104EE9">
      <w:pPr>
        <w:rPr>
          <w:rFonts w:ascii="Arial" w:hAnsi="Arial" w:cs="Arial"/>
          <w:color w:val="222222"/>
          <w:sz w:val="20"/>
          <w:szCs w:val="20"/>
        </w:rPr>
      </w:pPr>
      <w:r>
        <w:rPr>
          <w:rStyle w:val="Strong"/>
          <w:rFonts w:ascii="Arial" w:hAnsi="Arial" w:cs="Arial"/>
          <w:color w:val="222222"/>
          <w:sz w:val="20"/>
          <w:szCs w:val="20"/>
        </w:rPr>
        <w:t>IGC 1</w:t>
      </w:r>
      <w:r>
        <w:rPr>
          <w:rFonts w:ascii="Arial" w:hAnsi="Arial" w:cs="Arial"/>
          <w:color w:val="222222"/>
          <w:sz w:val="20"/>
          <w:szCs w:val="20"/>
        </w:rPr>
        <w:br/>
        <w:t>  - Foundations in health and safety</w:t>
      </w:r>
      <w:r>
        <w:rPr>
          <w:rFonts w:ascii="Arial" w:hAnsi="Arial" w:cs="Arial"/>
          <w:color w:val="222222"/>
          <w:sz w:val="20"/>
          <w:szCs w:val="20"/>
        </w:rPr>
        <w:br/>
        <w:t>  - Health &amp; safety management systems - Policy</w:t>
      </w:r>
      <w:r>
        <w:rPr>
          <w:rFonts w:ascii="Arial" w:hAnsi="Arial" w:cs="Arial"/>
          <w:color w:val="222222"/>
          <w:sz w:val="20"/>
          <w:szCs w:val="20"/>
        </w:rPr>
        <w:br/>
        <w:t>  - Health &amp; safety management systems - Organising</w:t>
      </w:r>
      <w:r>
        <w:rPr>
          <w:rFonts w:ascii="Arial" w:hAnsi="Arial" w:cs="Arial"/>
          <w:color w:val="222222"/>
          <w:sz w:val="20"/>
          <w:szCs w:val="20"/>
        </w:rPr>
        <w:br/>
        <w:t>  - Health &amp; safety management systems - Planning</w:t>
      </w:r>
    </w:p>
    <w:p w:rsidR="00104EE9" w:rsidRDefault="00104EE9" w:rsidP="00104EE9">
      <w:pPr>
        <w:rPr>
          <w:rFonts w:ascii="Arial" w:hAnsi="Arial" w:cs="Arial"/>
          <w:color w:val="222222"/>
          <w:sz w:val="20"/>
          <w:szCs w:val="20"/>
        </w:rPr>
      </w:pPr>
      <w:r>
        <w:rPr>
          <w:rFonts w:ascii="Arial" w:hAnsi="Arial" w:cs="Arial"/>
          <w:color w:val="222222"/>
          <w:sz w:val="20"/>
          <w:szCs w:val="20"/>
        </w:rPr>
        <w:t>  - Health &amp; safety management systems - Measuring, audit and review</w:t>
      </w:r>
      <w:r>
        <w:rPr>
          <w:rFonts w:ascii="Arial" w:hAnsi="Arial" w:cs="Arial"/>
          <w:color w:val="222222"/>
          <w:sz w:val="20"/>
          <w:szCs w:val="20"/>
        </w:rPr>
        <w:br/>
      </w:r>
      <w:r>
        <w:rPr>
          <w:rFonts w:ascii="Arial" w:hAnsi="Arial" w:cs="Arial"/>
          <w:color w:val="222222"/>
          <w:sz w:val="20"/>
          <w:szCs w:val="20"/>
        </w:rPr>
        <w:br/>
      </w:r>
      <w:r>
        <w:rPr>
          <w:rStyle w:val="Strong"/>
          <w:rFonts w:ascii="Arial" w:hAnsi="Arial" w:cs="Arial"/>
          <w:color w:val="222222"/>
          <w:sz w:val="20"/>
          <w:szCs w:val="20"/>
        </w:rPr>
        <w:t>IGC 2</w:t>
      </w:r>
      <w:r>
        <w:rPr>
          <w:rFonts w:ascii="Arial" w:hAnsi="Arial" w:cs="Arial"/>
          <w:color w:val="222222"/>
          <w:sz w:val="20"/>
          <w:szCs w:val="20"/>
        </w:rPr>
        <w:br/>
        <w:t>  - Movement of people and vehicles - hazards and control</w:t>
      </w:r>
      <w:r>
        <w:rPr>
          <w:rFonts w:ascii="Arial" w:hAnsi="Arial" w:cs="Arial"/>
          <w:color w:val="222222"/>
          <w:sz w:val="20"/>
          <w:szCs w:val="20"/>
        </w:rPr>
        <w:br/>
        <w:t>  - Manual and mechanical handling - hazards and control</w:t>
      </w:r>
      <w:r>
        <w:rPr>
          <w:rFonts w:ascii="Arial" w:hAnsi="Arial" w:cs="Arial"/>
          <w:color w:val="222222"/>
          <w:sz w:val="20"/>
          <w:szCs w:val="20"/>
        </w:rPr>
        <w:br/>
        <w:t>  - Work equipment - hazards and control</w:t>
      </w:r>
      <w:r>
        <w:rPr>
          <w:rFonts w:ascii="Arial" w:hAnsi="Arial" w:cs="Arial"/>
          <w:color w:val="222222"/>
          <w:sz w:val="20"/>
          <w:szCs w:val="20"/>
        </w:rPr>
        <w:br/>
        <w:t>  - Electrical - hazards and control</w:t>
      </w:r>
      <w:r>
        <w:rPr>
          <w:rFonts w:ascii="Arial" w:hAnsi="Arial" w:cs="Arial"/>
          <w:color w:val="222222"/>
          <w:sz w:val="20"/>
          <w:szCs w:val="20"/>
        </w:rPr>
        <w:br/>
        <w:t>  - Fire - hazards and control</w:t>
      </w:r>
      <w:r>
        <w:rPr>
          <w:rFonts w:ascii="Arial" w:hAnsi="Arial" w:cs="Arial"/>
          <w:color w:val="222222"/>
          <w:sz w:val="20"/>
          <w:szCs w:val="20"/>
        </w:rPr>
        <w:br/>
        <w:t>  - Chemical and biological health - hazards and control</w:t>
      </w:r>
      <w:r>
        <w:rPr>
          <w:rFonts w:ascii="Arial" w:hAnsi="Arial" w:cs="Arial"/>
          <w:color w:val="222222"/>
          <w:sz w:val="20"/>
          <w:szCs w:val="20"/>
        </w:rPr>
        <w:br/>
        <w:t>  - Physical and psychological health - hazards and control</w:t>
      </w:r>
      <w:r>
        <w:rPr>
          <w:rFonts w:ascii="Arial" w:hAnsi="Arial" w:cs="Arial"/>
          <w:color w:val="222222"/>
          <w:sz w:val="20"/>
          <w:szCs w:val="20"/>
        </w:rPr>
        <w:br/>
        <w:t>  - Construction activities - hazards and control</w:t>
      </w:r>
    </w:p>
    <w:p w:rsidR="00104EE9" w:rsidRDefault="00104EE9" w:rsidP="00104EE9">
      <w:pPr>
        <w:rPr>
          <w:rFonts w:ascii="Arial" w:hAnsi="Arial" w:cs="Arial"/>
          <w:color w:val="222222"/>
          <w:sz w:val="20"/>
          <w:szCs w:val="20"/>
        </w:rPr>
      </w:pPr>
    </w:p>
    <w:p w:rsidR="00104EE9" w:rsidRDefault="00104EE9" w:rsidP="00104EE9">
      <w:pPr>
        <w:rPr>
          <w:rFonts w:ascii="Arial" w:hAnsi="Arial" w:cs="Arial"/>
          <w:b/>
          <w:bCs/>
          <w:color w:val="01AFD8"/>
          <w:sz w:val="20"/>
          <w:szCs w:val="20"/>
        </w:rPr>
      </w:pPr>
      <w:r>
        <w:rPr>
          <w:rFonts w:ascii="Arial" w:hAnsi="Arial" w:cs="Arial"/>
          <w:b/>
          <w:bCs/>
          <w:color w:val="01AFD8"/>
          <w:sz w:val="20"/>
          <w:szCs w:val="20"/>
        </w:rPr>
        <w:t>Examinations</w:t>
      </w:r>
    </w:p>
    <w:p w:rsidR="00104EE9" w:rsidRDefault="00104EE9" w:rsidP="00104EE9">
      <w:pPr>
        <w:rPr>
          <w:rFonts w:ascii="Arial" w:hAnsi="Arial" w:cs="Arial"/>
          <w:b/>
          <w:bCs/>
          <w:color w:val="01AFD8"/>
          <w:sz w:val="20"/>
          <w:szCs w:val="20"/>
        </w:rPr>
      </w:pPr>
    </w:p>
    <w:p w:rsidR="00A970BF" w:rsidRDefault="00104EE9" w:rsidP="00104EE9">
      <w:pPr>
        <w:rPr>
          <w:rFonts w:ascii="Arial" w:hAnsi="Arial" w:cs="Arial"/>
          <w:color w:val="222222"/>
          <w:sz w:val="20"/>
          <w:szCs w:val="20"/>
        </w:rPr>
      </w:pPr>
      <w:r>
        <w:rPr>
          <w:rFonts w:ascii="Arial" w:hAnsi="Arial" w:cs="Arial"/>
          <w:color w:val="222222"/>
          <w:sz w:val="20"/>
          <w:szCs w:val="20"/>
        </w:rPr>
        <w:t>The examination comprises two 2-hour written papers and a practical assessment. Each written paper consists of one 'long-answer' question and ten 'short-answer' questions. All questions are compulsory. The practical asessment consists of carrying out a risk assessment of a workplace and preparing a short report.</w:t>
      </w:r>
      <w:r>
        <w:rPr>
          <w:rFonts w:ascii="Arial" w:hAnsi="Arial" w:cs="Arial"/>
          <w:color w:val="222222"/>
          <w:sz w:val="20"/>
          <w:szCs w:val="20"/>
        </w:rPr>
        <w:t> </w:t>
      </w:r>
    </w:p>
    <w:p w:rsidR="00104EE9" w:rsidRDefault="00104EE9" w:rsidP="00104EE9">
      <w:pPr>
        <w:rPr>
          <w:rFonts w:ascii="Arial" w:hAnsi="Arial" w:cs="Arial"/>
          <w:color w:val="222222"/>
          <w:sz w:val="20"/>
          <w:szCs w:val="20"/>
        </w:rPr>
      </w:pPr>
    </w:p>
    <w:p w:rsidR="00104EE9" w:rsidRDefault="00104EE9" w:rsidP="00104EE9">
      <w:pPr>
        <w:rPr>
          <w:rFonts w:ascii="Arial" w:hAnsi="Arial" w:cs="Arial"/>
          <w:b/>
          <w:bCs/>
          <w:color w:val="01AFD8"/>
          <w:sz w:val="20"/>
          <w:szCs w:val="20"/>
        </w:rPr>
      </w:pPr>
      <w:r w:rsidRPr="00104EE9">
        <w:rPr>
          <w:rFonts w:ascii="Arial" w:hAnsi="Arial" w:cs="Arial"/>
          <w:b/>
          <w:bCs/>
          <w:color w:val="01AFD8"/>
          <w:sz w:val="20"/>
          <w:szCs w:val="20"/>
        </w:rPr>
        <w:t>Did you know?</w:t>
      </w:r>
    </w:p>
    <w:p w:rsidR="00104EE9" w:rsidRPr="00104EE9" w:rsidRDefault="00104EE9" w:rsidP="00104EE9">
      <w:pPr>
        <w:rPr>
          <w:rFonts w:ascii="Arial" w:hAnsi="Arial" w:cs="Arial"/>
          <w:b/>
          <w:bCs/>
          <w:color w:val="01AFD8"/>
          <w:sz w:val="20"/>
          <w:szCs w:val="20"/>
        </w:rPr>
      </w:pPr>
    </w:p>
    <w:p w:rsidR="00104EE9" w:rsidRDefault="00104EE9" w:rsidP="00104EE9">
      <w:pPr>
        <w:rPr>
          <w:rFonts w:ascii="Arial" w:hAnsi="Arial" w:cs="Arial"/>
          <w:sz w:val="20"/>
          <w:szCs w:val="20"/>
        </w:rPr>
      </w:pPr>
      <w:r w:rsidRPr="00104EE9">
        <w:rPr>
          <w:rFonts w:ascii="Arial" w:hAnsi="Arial" w:cs="Arial"/>
          <w:sz w:val="20"/>
          <w:szCs w:val="20"/>
        </w:rPr>
        <w:lastRenderedPageBreak/>
        <w:t>This qualification is excellent pre study material for the NEBOSH International Diploma and Technical Oil &amp; Gas certificate courses. The content and examination preparation can increase your potential pass marks by up to 25%.</w:t>
      </w:r>
    </w:p>
    <w:p w:rsidR="00104EE9" w:rsidRDefault="00104EE9" w:rsidP="00104EE9">
      <w:pPr>
        <w:rPr>
          <w:rFonts w:ascii="Arial" w:hAnsi="Arial" w:cs="Arial"/>
          <w:sz w:val="20"/>
          <w:szCs w:val="20"/>
        </w:rPr>
      </w:pPr>
    </w:p>
    <w:p w:rsidR="00104EE9" w:rsidRDefault="00104EE9" w:rsidP="00104EE9">
      <w:pPr>
        <w:rPr>
          <w:rStyle w:val="Strong"/>
          <w:rFonts w:ascii="Arial" w:hAnsi="Arial" w:cs="Arial"/>
          <w:color w:val="BF5300"/>
          <w:sz w:val="22"/>
          <w:szCs w:val="22"/>
        </w:rPr>
      </w:pPr>
      <w:r>
        <w:rPr>
          <w:rStyle w:val="Strong"/>
          <w:rFonts w:ascii="Arial" w:hAnsi="Arial" w:cs="Arial"/>
          <w:color w:val="BF5300"/>
          <w:sz w:val="22"/>
          <w:szCs w:val="22"/>
        </w:rPr>
        <w:t>REGISTRATION BY 2 WEEKS BEFORE COURSE DATE</w:t>
      </w:r>
    </w:p>
    <w:p w:rsidR="00104EE9" w:rsidRDefault="00104EE9" w:rsidP="00104EE9">
      <w:pPr>
        <w:rPr>
          <w:rStyle w:val="Strong"/>
          <w:rFonts w:ascii="Arial" w:hAnsi="Arial" w:cs="Arial"/>
          <w:color w:val="BF5300"/>
          <w:sz w:val="22"/>
          <w:szCs w:val="22"/>
        </w:rPr>
      </w:pPr>
    </w:p>
    <w:tbl>
      <w:tblPr>
        <w:tblW w:w="5000" w:type="pct"/>
        <w:jc w:val="center"/>
        <w:tblCellSpacing w:w="0" w:type="dxa"/>
        <w:shd w:val="clear" w:color="auto" w:fill="026584"/>
        <w:tblCellMar>
          <w:left w:w="0" w:type="dxa"/>
          <w:right w:w="0" w:type="dxa"/>
        </w:tblCellMar>
        <w:tblLook w:val="04A0" w:firstRow="1" w:lastRow="0" w:firstColumn="1" w:lastColumn="0" w:noHBand="0" w:noVBand="1"/>
      </w:tblPr>
      <w:tblGrid>
        <w:gridCol w:w="9360"/>
      </w:tblGrid>
      <w:tr w:rsidR="00104EE9" w:rsidTr="00104EE9">
        <w:trPr>
          <w:trHeight w:val="15"/>
          <w:tblCellSpacing w:w="0" w:type="dxa"/>
          <w:jc w:val="center"/>
        </w:trPr>
        <w:tc>
          <w:tcPr>
            <w:tcW w:w="0" w:type="auto"/>
            <w:shd w:val="clear" w:color="auto" w:fill="026584"/>
            <w:hideMark/>
          </w:tcPr>
          <w:p w:rsidR="00104EE9" w:rsidRDefault="00104EE9">
            <w:pPr>
              <w:spacing w:line="15" w:lineRule="atLeast"/>
              <w:rPr>
                <w:rFonts w:ascii="Arial" w:hAnsi="Arial" w:cs="Arial"/>
                <w:color w:val="FFFFFF"/>
              </w:rPr>
            </w:pPr>
            <w:r>
              <w:rPr>
                <w:rFonts w:ascii="Arial" w:hAnsi="Arial" w:cs="Arial"/>
                <w:noProof/>
                <w:color w:val="FFFFFF"/>
              </w:rPr>
              <w:drawing>
                <wp:inline distT="0" distB="0" distL="0" distR="0">
                  <wp:extent cx="6478270" cy="94615"/>
                  <wp:effectExtent l="0" t="0" r="0" b="635"/>
                  <wp:docPr id="27" name="Picture 27" descr="http://img.constantcontact.com/letters/images/1101116784221/PM_B2BCON_FooterAc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g.constantcontact.com/letters/images/1101116784221/PM_B2BCON_FooterAcc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270" cy="94615"/>
                          </a:xfrm>
                          <a:prstGeom prst="rect">
                            <a:avLst/>
                          </a:prstGeom>
                          <a:noFill/>
                          <a:ln>
                            <a:noFill/>
                          </a:ln>
                        </pic:spPr>
                      </pic:pic>
                    </a:graphicData>
                  </a:graphic>
                </wp:inline>
              </w:drawing>
            </w:r>
          </w:p>
        </w:tc>
      </w:tr>
    </w:tbl>
    <w:p w:rsidR="00104EE9" w:rsidRDefault="00104EE9" w:rsidP="00104EE9">
      <w:pPr>
        <w:jc w:val="center"/>
        <w:rPr>
          <w:vanish/>
        </w:rPr>
      </w:pPr>
    </w:p>
    <w:tbl>
      <w:tblPr>
        <w:tblW w:w="5000" w:type="pct"/>
        <w:jc w:val="center"/>
        <w:tblCellSpacing w:w="0" w:type="dxa"/>
        <w:shd w:val="clear" w:color="auto" w:fill="026584"/>
        <w:tblCellMar>
          <w:left w:w="0" w:type="dxa"/>
          <w:right w:w="0" w:type="dxa"/>
        </w:tblCellMar>
        <w:tblLook w:val="04A0" w:firstRow="1" w:lastRow="0" w:firstColumn="1" w:lastColumn="0" w:noHBand="0" w:noVBand="1"/>
      </w:tblPr>
      <w:tblGrid>
        <w:gridCol w:w="6801"/>
        <w:gridCol w:w="2559"/>
      </w:tblGrid>
      <w:tr w:rsidR="00104EE9" w:rsidTr="00104EE9">
        <w:trPr>
          <w:tblCellSpacing w:w="0" w:type="dxa"/>
          <w:jc w:val="center"/>
        </w:trPr>
        <w:tc>
          <w:tcPr>
            <w:tcW w:w="0" w:type="auto"/>
            <w:shd w:val="clear" w:color="auto" w:fill="026584"/>
            <w:vAlign w:val="center"/>
            <w:hideMark/>
          </w:tcPr>
          <w:tbl>
            <w:tblPr>
              <w:tblW w:w="0" w:type="dxa"/>
              <w:tblCellSpacing w:w="0" w:type="dxa"/>
              <w:tblCellMar>
                <w:left w:w="0" w:type="dxa"/>
                <w:right w:w="0" w:type="dxa"/>
              </w:tblCellMar>
              <w:tblLook w:val="04A0" w:firstRow="1" w:lastRow="0" w:firstColumn="1" w:lastColumn="0" w:noHBand="0" w:noVBand="1"/>
            </w:tblPr>
            <w:tblGrid>
              <w:gridCol w:w="6801"/>
            </w:tblGrid>
            <w:tr w:rsidR="00104EE9">
              <w:trPr>
                <w:tblCellSpacing w:w="0" w:type="dxa"/>
              </w:trPr>
              <w:tc>
                <w:tcPr>
                  <w:tcW w:w="0" w:type="auto"/>
                  <w:tcMar>
                    <w:top w:w="270" w:type="dxa"/>
                    <w:left w:w="540" w:type="dxa"/>
                    <w:bottom w:w="270" w:type="dxa"/>
                    <w:right w:w="135" w:type="dxa"/>
                  </w:tcMar>
                  <w:vAlign w:val="center"/>
                  <w:hideMark/>
                </w:tcPr>
                <w:p w:rsidR="00104EE9" w:rsidRDefault="00104EE9">
                  <w:pPr>
                    <w:rPr>
                      <w:rFonts w:ascii="Arial" w:hAnsi="Arial" w:cs="Arial"/>
                      <w:color w:val="FFFFFF"/>
                    </w:rPr>
                  </w:pPr>
                  <w:r>
                    <w:rPr>
                      <w:rFonts w:ascii="Arial" w:hAnsi="Arial" w:cs="Arial"/>
                      <w:b/>
                      <w:bCs/>
                      <w:i/>
                      <w:iCs/>
                      <w:color w:val="FFFFFF"/>
                    </w:rPr>
                    <w:t xml:space="preserve">QUALITY ACADEMY - </w:t>
                  </w:r>
                  <w:r>
                    <w:rPr>
                      <w:rStyle w:val="Emphasis"/>
                      <w:rFonts w:ascii="Arial" w:hAnsi="Arial" w:cs="Arial"/>
                      <w:b/>
                      <w:bCs/>
                      <w:color w:val="FFFFFF"/>
                    </w:rPr>
                    <w:t>Training Division</w:t>
                  </w:r>
                  <w:r>
                    <w:rPr>
                      <w:rFonts w:ascii="Arial" w:hAnsi="Arial" w:cs="Arial"/>
                      <w:b/>
                      <w:bCs/>
                      <w:i/>
                      <w:iCs/>
                      <w:color w:val="FFFFFF"/>
                    </w:rPr>
                    <w:br/>
                  </w:r>
                  <w:r>
                    <w:rPr>
                      <w:rFonts w:ascii="Arial" w:hAnsi="Arial" w:cs="Arial"/>
                      <w:i/>
                      <w:iCs/>
                      <w:color w:val="FFFFFF"/>
                    </w:rPr>
                    <w:t>13 Awad Hegazy St., Al-Saraya, Alexandria 21411, Egypt</w:t>
                  </w:r>
                </w:p>
                <w:p w:rsidR="00104EE9" w:rsidRDefault="00104EE9">
                  <w:pPr>
                    <w:rPr>
                      <w:rFonts w:ascii="Arial" w:hAnsi="Arial" w:cs="Arial"/>
                      <w:color w:val="FFFFFF"/>
                    </w:rPr>
                  </w:pPr>
                  <w:r>
                    <w:rPr>
                      <w:rFonts w:ascii="Arial" w:hAnsi="Arial" w:cs="Arial"/>
                      <w:i/>
                      <w:iCs/>
                      <w:color w:val="FFFFFF"/>
                    </w:rPr>
                    <w:t>Tel. +2 01000673716   -   01012607090   -   01003523570</w:t>
                  </w:r>
                </w:p>
                <w:p w:rsidR="00104EE9" w:rsidRDefault="00104EE9">
                  <w:pPr>
                    <w:rPr>
                      <w:rFonts w:ascii="Arial" w:hAnsi="Arial" w:cs="Arial"/>
                      <w:color w:val="FFFFFF"/>
                    </w:rPr>
                  </w:pPr>
                  <w:r>
                    <w:rPr>
                      <w:rFonts w:ascii="Arial" w:hAnsi="Arial" w:cs="Arial"/>
                      <w:i/>
                      <w:iCs/>
                      <w:color w:val="FFFFFF"/>
                    </w:rPr>
                    <w:t>Fax. +2 03 5535818                      Mob. +2 01012503040</w:t>
                  </w:r>
                </w:p>
                <w:p w:rsidR="00104EE9" w:rsidRDefault="00104EE9">
                  <w:pPr>
                    <w:rPr>
                      <w:rFonts w:ascii="Arial" w:hAnsi="Arial" w:cs="Arial"/>
                      <w:color w:val="FFFFFF"/>
                    </w:rPr>
                  </w:pPr>
                  <w:hyperlink r:id="rId9" w:tgtFrame="_blank" w:history="1">
                    <w:r>
                      <w:rPr>
                        <w:rStyle w:val="Hyperlink"/>
                        <w:rFonts w:ascii="Arial" w:hAnsi="Arial" w:cs="Arial"/>
                        <w:i/>
                        <w:iCs/>
                        <w:color w:val="FFFFFF"/>
                      </w:rPr>
                      <w:t>training@quality-academy.org</w:t>
                    </w:r>
                  </w:hyperlink>
                  <w:r>
                    <w:rPr>
                      <w:rStyle w:val="Emphasis"/>
                      <w:rFonts w:ascii="Arial" w:hAnsi="Arial" w:cs="Arial"/>
                      <w:color w:val="FFFFFF"/>
                    </w:rPr>
                    <w:t>     </w:t>
                  </w:r>
                  <w:hyperlink r:id="rId10" w:tgtFrame="_blank" w:history="1">
                    <w:r>
                      <w:rPr>
                        <w:rStyle w:val="Hyperlink"/>
                        <w:rFonts w:ascii="Arial" w:hAnsi="Arial" w:cs="Arial"/>
                        <w:i/>
                        <w:iCs/>
                        <w:color w:val="FFFFFF"/>
                      </w:rPr>
                      <w:t>www.quality-academy.org</w:t>
                    </w:r>
                  </w:hyperlink>
                </w:p>
              </w:tc>
            </w:tr>
          </w:tbl>
          <w:p w:rsidR="00104EE9" w:rsidRDefault="00104EE9">
            <w:pPr>
              <w:rPr>
                <w:sz w:val="20"/>
                <w:szCs w:val="20"/>
              </w:rPr>
            </w:pPr>
          </w:p>
        </w:tc>
        <w:tc>
          <w:tcPr>
            <w:tcW w:w="0" w:type="auto"/>
            <w:shd w:val="clear" w:color="auto" w:fill="026584"/>
            <w:vAlign w:val="center"/>
            <w:hideMark/>
          </w:tcPr>
          <w:tbl>
            <w:tblPr>
              <w:tblpPr w:leftFromText="45" w:rightFromText="45" w:vertAnchor="text" w:tblpXSpec="right" w:tblpYSpec="center"/>
              <w:tblW w:w="2610" w:type="dxa"/>
              <w:tblCellSpacing w:w="0" w:type="dxa"/>
              <w:tblCellMar>
                <w:left w:w="0" w:type="dxa"/>
                <w:right w:w="0" w:type="dxa"/>
              </w:tblCellMar>
              <w:tblLook w:val="04A0" w:firstRow="1" w:lastRow="0" w:firstColumn="1" w:lastColumn="0" w:noHBand="0" w:noVBand="1"/>
            </w:tblPr>
            <w:tblGrid>
              <w:gridCol w:w="2610"/>
            </w:tblGrid>
            <w:tr w:rsidR="00104EE9" w:rsidTr="00104EE9">
              <w:trPr>
                <w:tblCellSpacing w:w="0" w:type="dxa"/>
              </w:trPr>
              <w:tc>
                <w:tcPr>
                  <w:tcW w:w="2610" w:type="dxa"/>
                  <w:tcMar>
                    <w:top w:w="270" w:type="dxa"/>
                    <w:left w:w="135" w:type="dxa"/>
                    <w:bottom w:w="270" w:type="dxa"/>
                    <w:right w:w="270" w:type="dxa"/>
                  </w:tcMar>
                  <w:vAlign w:val="center"/>
                  <w:hideMark/>
                </w:tcPr>
                <w:p w:rsidR="00104EE9" w:rsidRDefault="00104EE9">
                  <w:pPr>
                    <w:spacing w:after="240"/>
                    <w:jc w:val="center"/>
                    <w:rPr>
                      <w:rFonts w:ascii="Arial" w:hAnsi="Arial" w:cs="Arial"/>
                      <w:color w:val="FFFFFF"/>
                      <w:sz w:val="16"/>
                      <w:szCs w:val="16"/>
                    </w:rPr>
                  </w:pPr>
                  <w:r>
                    <w:rPr>
                      <w:rFonts w:ascii="Arial" w:hAnsi="Arial" w:cs="Arial"/>
                      <w:b/>
                      <w:bCs/>
                      <w:color w:val="FFFFFF"/>
                      <w:sz w:val="16"/>
                      <w:szCs w:val="16"/>
                    </w:rPr>
                    <w:t>Stay In Touch</w:t>
                  </w:r>
                </w:p>
                <w:p w:rsidR="00104EE9" w:rsidRDefault="00104EE9" w:rsidP="00104EE9">
                  <w:pPr>
                    <w:jc w:val="center"/>
                    <w:rPr>
                      <w:rFonts w:ascii="Arial" w:hAnsi="Arial" w:cs="Arial"/>
                      <w:color w:val="FFFFFF"/>
                    </w:rPr>
                  </w:pPr>
                  <w:r>
                    <w:rPr>
                      <w:rFonts w:ascii="Arial" w:hAnsi="Arial" w:cs="Arial"/>
                      <w:noProof/>
                      <w:color w:val="0000FF"/>
                    </w:rPr>
                    <w:drawing>
                      <wp:inline distT="0" distB="0" distL="0" distR="0">
                        <wp:extent cx="207010" cy="207010"/>
                        <wp:effectExtent l="0" t="0" r="2540" b="2540"/>
                        <wp:docPr id="26" name="Picture 26" descr="Like us on 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ike us on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ascii="Arial" w:hAnsi="Arial" w:cs="Arial"/>
                      <w:color w:val="FFFFFF"/>
                    </w:rPr>
                    <w:t xml:space="preserve">    </w:t>
                  </w:r>
                  <w:r>
                    <w:rPr>
                      <w:rFonts w:ascii="Arial" w:hAnsi="Arial" w:cs="Arial"/>
                      <w:noProof/>
                      <w:color w:val="0000FF"/>
                    </w:rPr>
                    <w:drawing>
                      <wp:inline distT="0" distB="0" distL="0" distR="0">
                        <wp:extent cx="207010" cy="207010"/>
                        <wp:effectExtent l="0" t="0" r="2540" b="2540"/>
                        <wp:docPr id="25" name="Picture 25" descr="Follow us on Twitt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ollow us on 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ascii="Arial" w:hAnsi="Arial" w:cs="Arial"/>
                      <w:color w:val="FFFFFF"/>
                    </w:rPr>
                    <w:t xml:space="preserve">    </w:t>
                  </w:r>
                  <w:r>
                    <w:rPr>
                      <w:rFonts w:ascii="Arial" w:hAnsi="Arial" w:cs="Arial"/>
                      <w:noProof/>
                      <w:color w:val="0000FF"/>
                    </w:rPr>
                    <w:drawing>
                      <wp:inline distT="0" distB="0" distL="0" distR="0">
                        <wp:extent cx="207010" cy="207010"/>
                        <wp:effectExtent l="0" t="0" r="2540" b="2540"/>
                        <wp:docPr id="24" name="Picture 24" descr="View our profile on LinkedI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View our profile on Linked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ascii="Arial" w:hAnsi="Arial" w:cs="Arial"/>
                      <w:color w:val="FFFFFF"/>
                    </w:rPr>
                    <w:t>   </w:t>
                  </w:r>
                  <w:r>
                    <w:rPr>
                      <w:rFonts w:ascii="Arial" w:hAnsi="Arial" w:cs="Arial"/>
                      <w:noProof/>
                      <w:color w:val="0000FF"/>
                    </w:rPr>
                    <w:drawing>
                      <wp:inline distT="0" distB="0" distL="0" distR="0" wp14:anchorId="742AF5C4" wp14:editId="2F235AA3">
                        <wp:extent cx="207010" cy="207010"/>
                        <wp:effectExtent l="0" t="0" r="2540" b="2540"/>
                        <wp:docPr id="23" name="Picture 23" descr="Find us on Pinterest">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ind us on Pinter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ascii="Arial" w:hAnsi="Arial" w:cs="Arial"/>
                      <w:color w:val="FFFFFF"/>
                    </w:rPr>
                    <w:t xml:space="preserve"> </w:t>
                  </w:r>
                </w:p>
              </w:tc>
            </w:tr>
          </w:tbl>
          <w:p w:rsidR="00104EE9" w:rsidRDefault="00104EE9">
            <w:pPr>
              <w:rPr>
                <w:sz w:val="20"/>
                <w:szCs w:val="20"/>
              </w:rPr>
            </w:pPr>
          </w:p>
        </w:tc>
      </w:tr>
    </w:tbl>
    <w:p w:rsidR="00104EE9" w:rsidRDefault="00104EE9" w:rsidP="00104EE9">
      <w:pPr>
        <w:jc w:val="center"/>
        <w:rPr>
          <w:vanish/>
        </w:rPr>
      </w:pPr>
    </w:p>
    <w:p w:rsidR="00104EE9" w:rsidRPr="00104EE9" w:rsidRDefault="00104EE9" w:rsidP="00104EE9">
      <w:pPr>
        <w:rPr>
          <w:rFonts w:ascii="Arial" w:hAnsi="Arial" w:cs="Arial"/>
          <w:sz w:val="20"/>
          <w:szCs w:val="20"/>
        </w:rPr>
      </w:pPr>
      <w:r>
        <w:rPr>
          <w:rStyle w:val="Emphasis"/>
          <w:rFonts w:ascii="Arial" w:hAnsi="Arial" w:cs="Arial"/>
          <w:color w:val="FFFFFF"/>
        </w:rPr>
        <w:t>     </w:t>
      </w:r>
      <w:hyperlink r:id="rId19" w:tgtFrame="_blank" w:history="1">
        <w:r>
          <w:rPr>
            <w:rStyle w:val="Hyperlink"/>
            <w:rFonts w:ascii="Arial" w:hAnsi="Arial" w:cs="Arial"/>
            <w:i/>
            <w:iCs/>
            <w:color w:val="FFFFFF"/>
          </w:rPr>
          <w:t>www.quality-academy.org</w:t>
        </w:r>
      </w:hyperlink>
      <w:bookmarkStart w:id="0" w:name="_GoBack"/>
      <w:bookmarkEnd w:id="0"/>
    </w:p>
    <w:sectPr w:rsidR="00104EE9" w:rsidRPr="00104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37" w:rsidRDefault="00B87337" w:rsidP="000B146C">
      <w:r>
        <w:separator/>
      </w:r>
    </w:p>
  </w:endnote>
  <w:endnote w:type="continuationSeparator" w:id="0">
    <w:p w:rsidR="00B87337" w:rsidRDefault="00B87337" w:rsidP="000B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37" w:rsidRDefault="00B87337" w:rsidP="000B146C">
      <w:r>
        <w:separator/>
      </w:r>
    </w:p>
  </w:footnote>
  <w:footnote w:type="continuationSeparator" w:id="0">
    <w:p w:rsidR="00B87337" w:rsidRDefault="00B87337" w:rsidP="000B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6C"/>
    <w:rsid w:val="000B146C"/>
    <w:rsid w:val="00104EE9"/>
    <w:rsid w:val="001B0D8A"/>
    <w:rsid w:val="00B87337"/>
    <w:rsid w:val="00D57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317DE-C5EB-4C12-A2D8-A1D7FAA9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46C"/>
    <w:rPr>
      <w:color w:val="0000FF"/>
      <w:u w:val="single"/>
    </w:rPr>
  </w:style>
  <w:style w:type="character" w:styleId="Emphasis">
    <w:name w:val="Emphasis"/>
    <w:basedOn w:val="DefaultParagraphFont"/>
    <w:uiPriority w:val="20"/>
    <w:qFormat/>
    <w:rsid w:val="000B146C"/>
    <w:rPr>
      <w:i/>
      <w:iCs/>
    </w:rPr>
  </w:style>
  <w:style w:type="paragraph" w:styleId="NormalWeb">
    <w:name w:val="Normal (Web)"/>
    <w:basedOn w:val="Normal"/>
    <w:uiPriority w:val="99"/>
    <w:semiHidden/>
    <w:unhideWhenUsed/>
    <w:rsid w:val="000B146C"/>
    <w:pPr>
      <w:spacing w:before="100" w:beforeAutospacing="1" w:after="100" w:afterAutospacing="1"/>
    </w:pPr>
  </w:style>
  <w:style w:type="character" w:styleId="Strong">
    <w:name w:val="Strong"/>
    <w:basedOn w:val="DefaultParagraphFont"/>
    <w:uiPriority w:val="22"/>
    <w:qFormat/>
    <w:rsid w:val="000B146C"/>
    <w:rPr>
      <w:b/>
      <w:bCs/>
    </w:rPr>
  </w:style>
  <w:style w:type="paragraph" w:styleId="Header">
    <w:name w:val="header"/>
    <w:basedOn w:val="Normal"/>
    <w:link w:val="HeaderChar"/>
    <w:uiPriority w:val="99"/>
    <w:unhideWhenUsed/>
    <w:rsid w:val="000B146C"/>
    <w:pPr>
      <w:tabs>
        <w:tab w:val="center" w:pos="4680"/>
        <w:tab w:val="right" w:pos="9360"/>
      </w:tabs>
    </w:pPr>
  </w:style>
  <w:style w:type="character" w:customStyle="1" w:styleId="HeaderChar">
    <w:name w:val="Header Char"/>
    <w:basedOn w:val="DefaultParagraphFont"/>
    <w:link w:val="Header"/>
    <w:uiPriority w:val="99"/>
    <w:rsid w:val="000B14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146C"/>
    <w:pPr>
      <w:tabs>
        <w:tab w:val="center" w:pos="4680"/>
        <w:tab w:val="right" w:pos="9360"/>
      </w:tabs>
    </w:pPr>
  </w:style>
  <w:style w:type="character" w:customStyle="1" w:styleId="FooterChar">
    <w:name w:val="Footer Char"/>
    <w:basedOn w:val="DefaultParagraphFont"/>
    <w:link w:val="Footer"/>
    <w:uiPriority w:val="99"/>
    <w:rsid w:val="000B14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1988">
      <w:bodyDiv w:val="1"/>
      <w:marLeft w:val="0"/>
      <w:marRight w:val="0"/>
      <w:marTop w:val="0"/>
      <w:marBottom w:val="0"/>
      <w:divBdr>
        <w:top w:val="none" w:sz="0" w:space="0" w:color="auto"/>
        <w:left w:val="none" w:sz="0" w:space="0" w:color="auto"/>
        <w:bottom w:val="none" w:sz="0" w:space="0" w:color="auto"/>
        <w:right w:val="none" w:sz="0" w:space="0" w:color="auto"/>
      </w:divBdr>
    </w:div>
    <w:div w:id="283777994">
      <w:bodyDiv w:val="1"/>
      <w:marLeft w:val="0"/>
      <w:marRight w:val="0"/>
      <w:marTop w:val="0"/>
      <w:marBottom w:val="0"/>
      <w:divBdr>
        <w:top w:val="none" w:sz="0" w:space="0" w:color="auto"/>
        <w:left w:val="none" w:sz="0" w:space="0" w:color="auto"/>
        <w:bottom w:val="none" w:sz="0" w:space="0" w:color="auto"/>
        <w:right w:val="none" w:sz="0" w:space="0" w:color="auto"/>
      </w:divBdr>
    </w:div>
    <w:div w:id="547036395">
      <w:bodyDiv w:val="1"/>
      <w:marLeft w:val="0"/>
      <w:marRight w:val="0"/>
      <w:marTop w:val="0"/>
      <w:marBottom w:val="0"/>
      <w:divBdr>
        <w:top w:val="none" w:sz="0" w:space="0" w:color="auto"/>
        <w:left w:val="none" w:sz="0" w:space="0" w:color="auto"/>
        <w:bottom w:val="none" w:sz="0" w:space="0" w:color="auto"/>
        <w:right w:val="none" w:sz="0" w:space="0" w:color="auto"/>
      </w:divBdr>
    </w:div>
    <w:div w:id="717361763">
      <w:bodyDiv w:val="1"/>
      <w:marLeft w:val="0"/>
      <w:marRight w:val="0"/>
      <w:marTop w:val="0"/>
      <w:marBottom w:val="0"/>
      <w:divBdr>
        <w:top w:val="none" w:sz="0" w:space="0" w:color="auto"/>
        <w:left w:val="none" w:sz="0" w:space="0" w:color="auto"/>
        <w:bottom w:val="none" w:sz="0" w:space="0" w:color="auto"/>
        <w:right w:val="none" w:sz="0" w:space="0" w:color="auto"/>
      </w:divBdr>
    </w:div>
    <w:div w:id="1068378501">
      <w:bodyDiv w:val="1"/>
      <w:marLeft w:val="0"/>
      <w:marRight w:val="0"/>
      <w:marTop w:val="0"/>
      <w:marBottom w:val="0"/>
      <w:divBdr>
        <w:top w:val="none" w:sz="0" w:space="0" w:color="auto"/>
        <w:left w:val="none" w:sz="0" w:space="0" w:color="auto"/>
        <w:bottom w:val="none" w:sz="0" w:space="0" w:color="auto"/>
        <w:right w:val="none" w:sz="0" w:space="0" w:color="auto"/>
      </w:divBdr>
    </w:div>
    <w:div w:id="1307205503">
      <w:bodyDiv w:val="1"/>
      <w:marLeft w:val="0"/>
      <w:marRight w:val="0"/>
      <w:marTop w:val="0"/>
      <w:marBottom w:val="0"/>
      <w:divBdr>
        <w:top w:val="none" w:sz="0" w:space="0" w:color="auto"/>
        <w:left w:val="none" w:sz="0" w:space="0" w:color="auto"/>
        <w:bottom w:val="none" w:sz="0" w:space="0" w:color="auto"/>
        <w:right w:val="none" w:sz="0" w:space="0" w:color="auto"/>
      </w:divBdr>
    </w:div>
    <w:div w:id="1385445904">
      <w:bodyDiv w:val="1"/>
      <w:marLeft w:val="0"/>
      <w:marRight w:val="0"/>
      <w:marTop w:val="0"/>
      <w:marBottom w:val="0"/>
      <w:divBdr>
        <w:top w:val="none" w:sz="0" w:space="0" w:color="auto"/>
        <w:left w:val="none" w:sz="0" w:space="0" w:color="auto"/>
        <w:bottom w:val="none" w:sz="0" w:space="0" w:color="auto"/>
        <w:right w:val="none" w:sz="0" w:space="0" w:color="auto"/>
      </w:divBdr>
    </w:div>
    <w:div w:id="1519663367">
      <w:bodyDiv w:val="1"/>
      <w:marLeft w:val="0"/>
      <w:marRight w:val="0"/>
      <w:marTop w:val="0"/>
      <w:marBottom w:val="0"/>
      <w:divBdr>
        <w:top w:val="none" w:sz="0" w:space="0" w:color="auto"/>
        <w:left w:val="none" w:sz="0" w:space="0" w:color="auto"/>
        <w:bottom w:val="none" w:sz="0" w:space="0" w:color="auto"/>
        <w:right w:val="none" w:sz="0" w:space="0" w:color="auto"/>
      </w:divBdr>
    </w:div>
    <w:div w:id="1788159971">
      <w:bodyDiv w:val="1"/>
      <w:marLeft w:val="0"/>
      <w:marRight w:val="0"/>
      <w:marTop w:val="0"/>
      <w:marBottom w:val="0"/>
      <w:divBdr>
        <w:top w:val="none" w:sz="0" w:space="0" w:color="auto"/>
        <w:left w:val="none" w:sz="0" w:space="0" w:color="auto"/>
        <w:bottom w:val="none" w:sz="0" w:space="0" w:color="auto"/>
        <w:right w:val="none" w:sz="0" w:space="0" w:color="auto"/>
      </w:divBdr>
    </w:div>
    <w:div w:id="1833712445">
      <w:bodyDiv w:val="1"/>
      <w:marLeft w:val="0"/>
      <w:marRight w:val="0"/>
      <w:marTop w:val="0"/>
      <w:marBottom w:val="0"/>
      <w:divBdr>
        <w:top w:val="none" w:sz="0" w:space="0" w:color="auto"/>
        <w:left w:val="none" w:sz="0" w:space="0" w:color="auto"/>
        <w:bottom w:val="none" w:sz="0" w:space="0" w:color="auto"/>
        <w:right w:val="none" w:sz="0" w:space="0" w:color="auto"/>
      </w:divBdr>
    </w:div>
    <w:div w:id="2014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20.rs6.net/tn.jsp?e=001jrNiL3EXkmQTBOZT-n5E3aIccB5EWwDGa-sRWrLkYSueTYHxn6CmjMgxPCSEySv471kEO3fHurQ0xIotaXYOXFvF3DCB2vOQwpkbNAUJXGx15XFGZFdVJ8YPw3ohbIdxn5pcsY_Q_Kw="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r20.rs6.net/tn.jsp?e=001jrNiL3EXkmS-YGIdMcgEVxzA_JAV2YeOCckJsVzcnuIwJ9xOOrUxWoNnVs09Zy6BIvgJN00Opa84P1n2br_QFoaMe8Rfg2mfiGg5z5dW5fbQWsN9VD9A7J-iC0r-54zm"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20.rs6.net/tn.jsp?e=001jrNiL3EXkmTDoYj5EidDuC35FhsQkF4ViRKwr_lIBYSCfks4-c5oHh5-wzc_5XGLQAVvb1CrJb1R4a4EYAnk8-wfYNgSuOmLwfmfHf151jxkxhkq4lFzcSMDVxru-PNrw_czxiik4BZt7nP1c85sB1l3vwz45ddqzo3lE9XMJKI=" TargetMode="External"/><Relationship Id="rId11" Type="http://schemas.openxmlformats.org/officeDocument/2006/relationships/hyperlink" Target="http://r20.rs6.net/tn.jsp?e=001jrNiL3EXkmTBnMGfBmERpei8zLBnhCsH3PejjJyxAbE5Lf3p7ehMVuIxK15ZURU6vkAPwFZodXm0HxXcfrgoi5qU2OGbz4yxwUvdeYHP3BbsXhy7MMblW4qMSopR4E2dcpMlXsZC2rRWQ6g_Dc6u5w==" TargetMode="External"/><Relationship Id="rId5" Type="http://schemas.openxmlformats.org/officeDocument/2006/relationships/endnotes" Target="endnotes.xml"/><Relationship Id="rId15" Type="http://schemas.openxmlformats.org/officeDocument/2006/relationships/hyperlink" Target="http://r20.rs6.net/tn.jsp?e=001jrNiL3EXkmRN4YUygDRs_6ng7GXTx8H25AC1TBcbOQzFJ7R_6gSjsDFpX1nm0OSP1W3pHMmWgBCjLwrt6JqsRvKzQQkE5QlWWMiBYbNt0KBo1TvjVBqHVGuePkrbCXCcB_oEEsFQ1DPV17nj8iUKGDy0mIhPSXCz" TargetMode="External"/><Relationship Id="rId10" Type="http://schemas.openxmlformats.org/officeDocument/2006/relationships/hyperlink" Target="http://r20.rs6.net/tn.jsp?e=001jrNiL3EXkmTOl2yGpyjr2J8P9fhznrvgbRhy90NFw9OCd_6Gy9dsvHrRDRZ9HSivZYuOhtyXFJwzsMl0iNczF6-4GiZ_tcn6ImpMyhTcpS6Bj_h9e6NolJ6S0MwqwZEj" TargetMode="External"/><Relationship Id="rId19" Type="http://schemas.openxmlformats.org/officeDocument/2006/relationships/hyperlink" Target="http://r20.rs6.net/tn.jsp?e=001jrNiL3EXkmTOl2yGpyjr2J8P9fhznrvgbRhy90NFw9OCd_6Gy9dsvHrRDRZ9HSivZYuOhtyXFJwzsMl0iNczF6-4GiZ_tcn6ImpMyhTcpS6Bj_h9e6NolJ6S0MwqwZEj" TargetMode="External"/><Relationship Id="rId4" Type="http://schemas.openxmlformats.org/officeDocument/2006/relationships/footnotes" Target="footnotes.xml"/><Relationship Id="rId9" Type="http://schemas.openxmlformats.org/officeDocument/2006/relationships/hyperlink" Target="mailto:training@quality-academy.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Amal_helmi</dc:creator>
  <cp:keywords/>
  <dc:description/>
  <cp:lastModifiedBy>Amal_helmi</cp:lastModifiedBy>
  <cp:revision>1</cp:revision>
  <dcterms:created xsi:type="dcterms:W3CDTF">2013-09-19T11:21:00Z</dcterms:created>
  <dcterms:modified xsi:type="dcterms:W3CDTF">2013-09-19T11:40:00Z</dcterms:modified>
</cp:coreProperties>
</file>